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D5664" w14:textId="5E936FA5" w:rsidR="00063FAF" w:rsidRPr="002D7F07" w:rsidRDefault="00D52C70" w:rsidP="008C4258">
      <w:pPr>
        <w:spacing w:after="120" w:line="240" w:lineRule="auto"/>
        <w:rPr>
          <w:rFonts w:ascii="Calibri" w:eastAsia="Times New Roman" w:hAnsi="Calibri" w:cs="Calibri"/>
          <w:i/>
          <w:iCs/>
          <w:color w:val="212721"/>
          <w:lang w:eastAsia="en-GB"/>
        </w:rPr>
      </w:pPr>
      <w:r w:rsidRPr="002D7F07">
        <w:rPr>
          <w:rFonts w:ascii="Calibri" w:eastAsia="Times New Roman" w:hAnsi="Calibri" w:cs="Calibri"/>
          <w:i/>
          <w:iCs/>
          <w:color w:val="212721"/>
          <w:lang w:eastAsia="en-GB"/>
        </w:rPr>
        <w:t>For release o</w:t>
      </w:r>
      <w:r w:rsidR="00107BA4" w:rsidRPr="002D7F07">
        <w:rPr>
          <w:rFonts w:ascii="Calibri" w:eastAsia="Times New Roman" w:hAnsi="Calibri" w:cs="Calibri"/>
          <w:i/>
          <w:iCs/>
          <w:color w:val="212721"/>
          <w:lang w:eastAsia="en-GB"/>
        </w:rPr>
        <w:t>n RNS</w:t>
      </w:r>
      <w:r w:rsidRPr="002D7F07">
        <w:rPr>
          <w:rFonts w:ascii="Calibri" w:eastAsia="Times New Roman" w:hAnsi="Calibri" w:cs="Calibri"/>
          <w:i/>
          <w:iCs/>
          <w:color w:val="212721"/>
          <w:lang w:eastAsia="en-GB"/>
        </w:rPr>
        <w:t xml:space="preserve"> Reach: 07.00, </w:t>
      </w:r>
      <w:r w:rsidR="00556A71" w:rsidRPr="002D7F07">
        <w:rPr>
          <w:rFonts w:ascii="Calibri" w:eastAsia="Times New Roman" w:hAnsi="Calibri" w:cs="Calibri"/>
          <w:i/>
          <w:iCs/>
          <w:color w:val="212721"/>
          <w:lang w:eastAsia="en-GB"/>
        </w:rPr>
        <w:t>9 September 2024</w:t>
      </w:r>
    </w:p>
    <w:p w14:paraId="085DA0FB" w14:textId="77777777" w:rsidR="00ED4FAF" w:rsidRPr="002D7F07" w:rsidRDefault="00ED4FAF" w:rsidP="008C4258">
      <w:pPr>
        <w:spacing w:after="120" w:line="240" w:lineRule="auto"/>
        <w:jc w:val="center"/>
        <w:rPr>
          <w:rFonts w:ascii="Calibri" w:eastAsia="Times New Roman" w:hAnsi="Calibri" w:cs="Calibri"/>
          <w:b/>
          <w:bCs/>
          <w:color w:val="212721"/>
          <w:lang w:eastAsia="en-GB"/>
        </w:rPr>
      </w:pPr>
    </w:p>
    <w:p w14:paraId="4105F892" w14:textId="48413366" w:rsidR="00A32F88" w:rsidRPr="002D7F07" w:rsidRDefault="003C0877" w:rsidP="00ED4FAF">
      <w:pPr>
        <w:spacing w:after="120" w:line="240" w:lineRule="auto"/>
        <w:jc w:val="center"/>
        <w:rPr>
          <w:rFonts w:ascii="Calibri" w:eastAsia="Times New Roman" w:hAnsi="Calibri" w:cs="Calibri"/>
          <w:b/>
          <w:bCs/>
          <w:color w:val="212721"/>
          <w:lang w:eastAsia="en-GB"/>
        </w:rPr>
      </w:pPr>
      <w:r w:rsidRPr="002D7F07">
        <w:rPr>
          <w:rFonts w:ascii="Calibri" w:eastAsia="Times New Roman" w:hAnsi="Calibri" w:cs="Calibri"/>
          <w:b/>
          <w:bCs/>
          <w:color w:val="212721"/>
          <w:lang w:eastAsia="en-GB"/>
        </w:rPr>
        <w:t>Itaconix plc</w:t>
      </w:r>
    </w:p>
    <w:p w14:paraId="74CFF62A" w14:textId="78E9A7B6" w:rsidR="001C4BAC" w:rsidRPr="002D7F07" w:rsidRDefault="003C0877" w:rsidP="00ED4FAF">
      <w:pPr>
        <w:spacing w:after="120" w:line="240" w:lineRule="auto"/>
        <w:jc w:val="center"/>
      </w:pPr>
      <w:r w:rsidRPr="002D7F07">
        <w:rPr>
          <w:rFonts w:ascii="Calibri" w:eastAsia="Times New Roman" w:hAnsi="Calibri" w:cs="Calibri"/>
          <w:color w:val="212721"/>
          <w:lang w:eastAsia="en-GB"/>
        </w:rPr>
        <w:t>("Itaconix", the "Company" or the "Group")</w:t>
      </w:r>
    </w:p>
    <w:p w14:paraId="7A1AC388" w14:textId="2476AFD7" w:rsidR="00D52C70" w:rsidRPr="002D7F07" w:rsidRDefault="00295357" w:rsidP="00ED4FAF">
      <w:pPr>
        <w:spacing w:after="240" w:line="240" w:lineRule="auto"/>
        <w:jc w:val="center"/>
        <w:rPr>
          <w:rFonts w:ascii="Calibri" w:eastAsia="Times New Roman" w:hAnsi="Calibri" w:cs="Calibri"/>
          <w:b/>
          <w:bCs/>
          <w:color w:val="212721"/>
          <w:lang w:eastAsia="en-GB"/>
        </w:rPr>
      </w:pPr>
      <w:r w:rsidRPr="002D7F07">
        <w:rPr>
          <w:rFonts w:ascii="Calibri" w:eastAsia="Times New Roman" w:hAnsi="Calibri" w:cs="Calibri"/>
          <w:b/>
          <w:bCs/>
          <w:color w:val="212721"/>
          <w:lang w:eastAsia="en-GB"/>
        </w:rPr>
        <w:t xml:space="preserve">New </w:t>
      </w:r>
      <w:r w:rsidR="00C550AB" w:rsidRPr="002D7F07">
        <w:rPr>
          <w:rFonts w:ascii="Calibri" w:eastAsia="Times New Roman" w:hAnsi="Calibri" w:cs="Calibri"/>
          <w:b/>
          <w:bCs/>
          <w:color w:val="212721"/>
          <w:lang w:eastAsia="en-GB"/>
        </w:rPr>
        <w:t xml:space="preserve">Corporate </w:t>
      </w:r>
      <w:r w:rsidRPr="002D7F07">
        <w:rPr>
          <w:rFonts w:ascii="Calibri" w:eastAsia="Times New Roman" w:hAnsi="Calibri" w:cs="Calibri"/>
          <w:b/>
          <w:bCs/>
          <w:color w:val="212721"/>
          <w:lang w:eastAsia="en-GB"/>
        </w:rPr>
        <w:t>Website</w:t>
      </w:r>
    </w:p>
    <w:p w14:paraId="156DA549" w14:textId="6CCD16B5" w:rsidR="0017572A" w:rsidRPr="002D7F07" w:rsidRDefault="0017572A" w:rsidP="0017572A">
      <w:pPr>
        <w:pStyle w:val="Body"/>
        <w:spacing w:after="120"/>
        <w:jc w:val="both"/>
        <w:rPr>
          <w:rFonts w:asciiTheme="minorHAnsi" w:hAnsiTheme="minorHAnsi" w:cstheme="minorHAnsi"/>
          <w:sz w:val="22"/>
          <w:szCs w:val="22"/>
          <w:shd w:val="clear" w:color="auto" w:fill="FFFFFF"/>
        </w:rPr>
      </w:pPr>
      <w:r w:rsidRPr="002D7F07">
        <w:rPr>
          <w:rFonts w:asciiTheme="minorHAnsi" w:hAnsiTheme="minorHAnsi" w:cstheme="minorHAnsi"/>
          <w:sz w:val="22"/>
          <w:szCs w:val="22"/>
          <w:shd w:val="clear" w:color="auto" w:fill="FFFFFF"/>
        </w:rPr>
        <w:t>Itaconix plc (AIM: ITX) (OTCQB: ITXXF), a leading innovator in plant-based specialty polymers used to decarbonise everyday consumer products, announces th</w:t>
      </w:r>
      <w:r w:rsidR="0089456E" w:rsidRPr="002D7F07">
        <w:rPr>
          <w:rFonts w:asciiTheme="minorHAnsi" w:hAnsiTheme="minorHAnsi" w:cstheme="minorHAnsi"/>
          <w:sz w:val="22"/>
          <w:szCs w:val="22"/>
          <w:shd w:val="clear" w:color="auto" w:fill="FFFFFF"/>
        </w:rPr>
        <w:t xml:space="preserve">e launch of its </w:t>
      </w:r>
      <w:r w:rsidR="00161996" w:rsidRPr="002D7F07">
        <w:rPr>
          <w:rFonts w:asciiTheme="minorHAnsi" w:hAnsiTheme="minorHAnsi" w:cstheme="minorHAnsi"/>
          <w:sz w:val="22"/>
          <w:szCs w:val="22"/>
          <w:shd w:val="clear" w:color="auto" w:fill="FFFFFF"/>
        </w:rPr>
        <w:t>new corporate website</w:t>
      </w:r>
      <w:r w:rsidR="000B0685" w:rsidRPr="002D7F07">
        <w:rPr>
          <w:rFonts w:asciiTheme="minorHAnsi" w:hAnsiTheme="minorHAnsi" w:cstheme="minorHAnsi"/>
          <w:sz w:val="22"/>
          <w:szCs w:val="22"/>
          <w:shd w:val="clear" w:color="auto" w:fill="FFFFFF"/>
        </w:rPr>
        <w:t>.</w:t>
      </w:r>
    </w:p>
    <w:p w14:paraId="0237DF68" w14:textId="1B6F2295" w:rsidR="00F93212" w:rsidRPr="002D7F07" w:rsidRDefault="00F93212" w:rsidP="008C4258">
      <w:pPr>
        <w:spacing w:after="120" w:line="240" w:lineRule="auto"/>
        <w:jc w:val="both"/>
        <w:rPr>
          <w:rFonts w:ascii="Calibri" w:eastAsia="Times New Roman" w:hAnsi="Calibri" w:cs="Calibri"/>
          <w:b/>
          <w:bCs/>
          <w:color w:val="212721"/>
          <w:lang w:val="en-US" w:eastAsia="en-GB"/>
        </w:rPr>
      </w:pPr>
      <w:r w:rsidRPr="002D7F07">
        <w:rPr>
          <w:rFonts w:ascii="Calibri" w:eastAsia="Times New Roman" w:hAnsi="Calibri" w:cs="Calibri"/>
          <w:b/>
          <w:bCs/>
          <w:color w:val="212721"/>
          <w:lang w:val="en-US" w:eastAsia="en-GB"/>
        </w:rPr>
        <w:t>John R. Shaw, CEO of Itaconix, commented:</w:t>
      </w:r>
    </w:p>
    <w:p w14:paraId="415BCECE" w14:textId="54E6F33C" w:rsidR="00D52C70" w:rsidRPr="002D7F07" w:rsidRDefault="00F93212" w:rsidP="00F268B8">
      <w:pPr>
        <w:spacing w:after="240" w:line="240" w:lineRule="auto"/>
        <w:jc w:val="both"/>
        <w:rPr>
          <w:rFonts w:ascii="Calibri" w:eastAsia="Times New Roman" w:hAnsi="Calibri" w:cs="Calibri"/>
          <w:i/>
          <w:iCs/>
          <w:color w:val="212721"/>
          <w:lang w:val="en-US" w:eastAsia="en-GB"/>
        </w:rPr>
      </w:pPr>
      <w:r w:rsidRPr="002D7F07">
        <w:rPr>
          <w:rFonts w:ascii="Calibri" w:eastAsia="Times New Roman" w:hAnsi="Calibri" w:cs="Calibri"/>
          <w:i/>
          <w:iCs/>
          <w:color w:val="212721"/>
          <w:lang w:val="en-US" w:eastAsia="en-GB"/>
        </w:rPr>
        <w:t>“</w:t>
      </w:r>
      <w:r w:rsidR="0051205A" w:rsidRPr="002D7F07">
        <w:rPr>
          <w:rFonts w:ascii="Calibri" w:eastAsia="Times New Roman" w:hAnsi="Calibri" w:cs="Calibri"/>
          <w:i/>
          <w:iCs/>
          <w:color w:val="212721"/>
          <w:lang w:val="en-US" w:eastAsia="en-GB"/>
        </w:rPr>
        <w:t>Our</w:t>
      </w:r>
      <w:r w:rsidR="0049320B" w:rsidRPr="002D7F07">
        <w:rPr>
          <w:rFonts w:ascii="Calibri" w:eastAsia="Times New Roman" w:hAnsi="Calibri" w:cs="Calibri"/>
          <w:i/>
          <w:iCs/>
          <w:color w:val="212721"/>
          <w:lang w:val="en-US" w:eastAsia="en-GB"/>
        </w:rPr>
        <w:t xml:space="preserve"> new website </w:t>
      </w:r>
      <w:r w:rsidR="00936712" w:rsidRPr="002D7F07">
        <w:rPr>
          <w:rFonts w:ascii="Calibri" w:eastAsia="Times New Roman" w:hAnsi="Calibri" w:cs="Calibri"/>
          <w:i/>
          <w:iCs/>
          <w:color w:val="212721"/>
          <w:lang w:val="en-US" w:eastAsia="en-GB"/>
        </w:rPr>
        <w:t xml:space="preserve">is at the core of </w:t>
      </w:r>
      <w:r w:rsidR="00455711" w:rsidRPr="002D7F07">
        <w:rPr>
          <w:rFonts w:ascii="Calibri" w:eastAsia="Times New Roman" w:hAnsi="Calibri" w:cs="Calibri"/>
          <w:i/>
          <w:iCs/>
          <w:color w:val="212721"/>
          <w:lang w:val="en-US" w:eastAsia="en-GB"/>
        </w:rPr>
        <w:t xml:space="preserve">our efforts to extend </w:t>
      </w:r>
      <w:r w:rsidR="000E111B" w:rsidRPr="002D7F07">
        <w:rPr>
          <w:rFonts w:ascii="Calibri" w:eastAsia="Times New Roman" w:hAnsi="Calibri" w:cs="Calibri"/>
          <w:i/>
          <w:iCs/>
          <w:color w:val="212721"/>
          <w:lang w:val="en-US" w:eastAsia="en-GB"/>
        </w:rPr>
        <w:t xml:space="preserve">and expand </w:t>
      </w:r>
      <w:r w:rsidR="00DD66D4" w:rsidRPr="002D7F07">
        <w:rPr>
          <w:rFonts w:ascii="Calibri" w:eastAsia="Times New Roman" w:hAnsi="Calibri" w:cs="Calibri"/>
          <w:i/>
          <w:iCs/>
          <w:color w:val="212721"/>
          <w:lang w:val="en-US" w:eastAsia="en-GB"/>
        </w:rPr>
        <w:t xml:space="preserve">our work </w:t>
      </w:r>
      <w:r w:rsidR="002949B5">
        <w:rPr>
          <w:rFonts w:ascii="Calibri" w:eastAsia="Times New Roman" w:hAnsi="Calibri" w:cs="Calibri"/>
          <w:i/>
          <w:iCs/>
          <w:color w:val="212721"/>
          <w:lang w:val="en-US" w:eastAsia="en-GB"/>
        </w:rPr>
        <w:t xml:space="preserve">with </w:t>
      </w:r>
      <w:r w:rsidR="00995D6F">
        <w:rPr>
          <w:rFonts w:ascii="Calibri" w:eastAsia="Times New Roman" w:hAnsi="Calibri" w:cs="Calibri"/>
          <w:i/>
          <w:iCs/>
          <w:color w:val="212721"/>
          <w:lang w:val="en-US" w:eastAsia="en-GB"/>
        </w:rPr>
        <w:t xml:space="preserve">brand managers and </w:t>
      </w:r>
      <w:r w:rsidR="002949B5">
        <w:rPr>
          <w:rFonts w:ascii="Calibri" w:eastAsia="Times New Roman" w:hAnsi="Calibri" w:cs="Calibri"/>
          <w:i/>
          <w:iCs/>
          <w:color w:val="212721"/>
          <w:lang w:val="en-US" w:eastAsia="en-GB"/>
        </w:rPr>
        <w:t xml:space="preserve">product formulators </w:t>
      </w:r>
      <w:r w:rsidR="00945065" w:rsidRPr="002D7F07">
        <w:rPr>
          <w:rFonts w:ascii="Calibri" w:eastAsia="Times New Roman" w:hAnsi="Calibri" w:cs="Calibri"/>
          <w:i/>
          <w:iCs/>
          <w:color w:val="212721"/>
          <w:lang w:val="en-US" w:eastAsia="en-GB"/>
        </w:rPr>
        <w:t xml:space="preserve">on new generations of </w:t>
      </w:r>
      <w:r w:rsidR="00A95C46" w:rsidRPr="002D7F07">
        <w:rPr>
          <w:rFonts w:ascii="Calibri" w:eastAsia="Times New Roman" w:hAnsi="Calibri" w:cs="Calibri"/>
          <w:i/>
          <w:iCs/>
          <w:color w:val="212721"/>
          <w:lang w:val="en-US" w:eastAsia="en-GB"/>
        </w:rPr>
        <w:t>consumer product</w:t>
      </w:r>
      <w:r w:rsidR="007F15F8">
        <w:rPr>
          <w:rFonts w:ascii="Calibri" w:eastAsia="Times New Roman" w:hAnsi="Calibri" w:cs="Calibri"/>
          <w:i/>
          <w:iCs/>
          <w:color w:val="212721"/>
          <w:lang w:val="en-US" w:eastAsia="en-GB"/>
        </w:rPr>
        <w:t xml:space="preserve">s. </w:t>
      </w:r>
      <w:r w:rsidR="00D00A25" w:rsidRPr="002D7F07">
        <w:rPr>
          <w:rFonts w:ascii="Calibri" w:eastAsia="Times New Roman" w:hAnsi="Calibri" w:cs="Calibri"/>
          <w:i/>
          <w:iCs/>
          <w:color w:val="212721"/>
          <w:lang w:val="en-US" w:eastAsia="en-GB"/>
        </w:rPr>
        <w:t xml:space="preserve">The website </w:t>
      </w:r>
      <w:r w:rsidR="00334DD2">
        <w:rPr>
          <w:rFonts w:ascii="Calibri" w:eastAsia="Times New Roman" w:hAnsi="Calibri" w:cs="Calibri"/>
          <w:i/>
          <w:iCs/>
          <w:color w:val="212721"/>
          <w:lang w:val="en-US" w:eastAsia="en-GB"/>
        </w:rPr>
        <w:t xml:space="preserve">is expected to increase our ability </w:t>
      </w:r>
      <w:r w:rsidR="00973081">
        <w:rPr>
          <w:rFonts w:ascii="Calibri" w:eastAsia="Times New Roman" w:hAnsi="Calibri" w:cs="Calibri"/>
          <w:i/>
          <w:iCs/>
          <w:color w:val="212721"/>
          <w:lang w:val="en-US" w:eastAsia="en-GB"/>
        </w:rPr>
        <w:t xml:space="preserve">to </w:t>
      </w:r>
      <w:r w:rsidR="00574D85">
        <w:rPr>
          <w:rFonts w:ascii="Calibri" w:eastAsia="Times New Roman" w:hAnsi="Calibri" w:cs="Calibri"/>
          <w:i/>
          <w:iCs/>
          <w:color w:val="212721"/>
          <w:lang w:val="en-US" w:eastAsia="en-GB"/>
        </w:rPr>
        <w:t xml:space="preserve">engage with current and potential customers </w:t>
      </w:r>
      <w:r w:rsidR="00681162">
        <w:rPr>
          <w:rFonts w:ascii="Calibri" w:eastAsia="Times New Roman" w:hAnsi="Calibri" w:cs="Calibri"/>
          <w:i/>
          <w:iCs/>
          <w:color w:val="212721"/>
          <w:lang w:val="en-US" w:eastAsia="en-GB"/>
        </w:rPr>
        <w:t xml:space="preserve">on </w:t>
      </w:r>
      <w:r w:rsidR="005C7CC5">
        <w:rPr>
          <w:rFonts w:ascii="Calibri" w:eastAsia="Times New Roman" w:hAnsi="Calibri" w:cs="Calibri"/>
          <w:i/>
          <w:iCs/>
          <w:color w:val="212721"/>
          <w:lang w:val="en-US" w:eastAsia="en-GB"/>
        </w:rPr>
        <w:t xml:space="preserve">the </w:t>
      </w:r>
      <w:r w:rsidR="00681162">
        <w:rPr>
          <w:rFonts w:ascii="Calibri" w:eastAsia="Times New Roman" w:hAnsi="Calibri" w:cs="Calibri"/>
          <w:i/>
          <w:iCs/>
          <w:color w:val="212721"/>
          <w:lang w:val="en-US" w:eastAsia="en-GB"/>
        </w:rPr>
        <w:t>develop</w:t>
      </w:r>
      <w:r w:rsidR="005C7CC5">
        <w:rPr>
          <w:rFonts w:ascii="Calibri" w:eastAsia="Times New Roman" w:hAnsi="Calibri" w:cs="Calibri"/>
          <w:i/>
          <w:iCs/>
          <w:color w:val="212721"/>
          <w:lang w:val="en-US" w:eastAsia="en-GB"/>
        </w:rPr>
        <w:t xml:space="preserve">ment of </w:t>
      </w:r>
      <w:r w:rsidR="00973081">
        <w:rPr>
          <w:rFonts w:ascii="Calibri" w:eastAsia="Times New Roman" w:hAnsi="Calibri" w:cs="Calibri"/>
          <w:i/>
          <w:iCs/>
          <w:color w:val="212721"/>
          <w:lang w:val="en-US" w:eastAsia="en-GB"/>
        </w:rPr>
        <w:t>safer products</w:t>
      </w:r>
      <w:r w:rsidR="00471F99">
        <w:rPr>
          <w:rFonts w:ascii="Calibri" w:eastAsia="Times New Roman" w:hAnsi="Calibri" w:cs="Calibri"/>
          <w:i/>
          <w:iCs/>
          <w:color w:val="212721"/>
          <w:lang w:val="en-US" w:eastAsia="en-GB"/>
        </w:rPr>
        <w:t xml:space="preserve"> with excellent performance and better sustainability. </w:t>
      </w:r>
      <w:r w:rsidR="006609D3" w:rsidRPr="002D7F07">
        <w:rPr>
          <w:rFonts w:ascii="Calibri" w:eastAsia="Times New Roman" w:hAnsi="Calibri" w:cs="Calibri"/>
          <w:i/>
          <w:iCs/>
          <w:color w:val="212721"/>
          <w:lang w:val="en-US" w:eastAsia="en-GB"/>
        </w:rPr>
        <w:t xml:space="preserve">In addition, </w:t>
      </w:r>
      <w:r w:rsidR="004F2148">
        <w:rPr>
          <w:rFonts w:ascii="Calibri" w:eastAsia="Times New Roman" w:hAnsi="Calibri" w:cs="Calibri"/>
          <w:i/>
          <w:iCs/>
          <w:color w:val="212721"/>
          <w:lang w:val="en-US" w:eastAsia="en-GB"/>
        </w:rPr>
        <w:t>we</w:t>
      </w:r>
      <w:r w:rsidR="006609D3" w:rsidRPr="002D7F07">
        <w:rPr>
          <w:rFonts w:ascii="Calibri" w:eastAsia="Times New Roman" w:hAnsi="Calibri" w:cs="Calibri"/>
          <w:i/>
          <w:iCs/>
          <w:color w:val="212721"/>
          <w:lang w:val="en-US" w:eastAsia="en-GB"/>
        </w:rPr>
        <w:t xml:space="preserve"> believe the website </w:t>
      </w:r>
      <w:r w:rsidR="00F84A66">
        <w:rPr>
          <w:rFonts w:ascii="Calibri" w:eastAsia="Times New Roman" w:hAnsi="Calibri" w:cs="Calibri"/>
          <w:i/>
          <w:iCs/>
          <w:color w:val="212721"/>
          <w:lang w:val="en-US" w:eastAsia="en-GB"/>
        </w:rPr>
        <w:t xml:space="preserve">will </w:t>
      </w:r>
      <w:r w:rsidR="006609D3" w:rsidRPr="002D7F07">
        <w:rPr>
          <w:rFonts w:ascii="Calibri" w:eastAsia="Times New Roman" w:hAnsi="Calibri" w:cs="Calibri"/>
          <w:i/>
          <w:iCs/>
          <w:color w:val="212721"/>
          <w:lang w:val="en-US" w:eastAsia="en-GB"/>
        </w:rPr>
        <w:t xml:space="preserve">provide current and potential investors with </w:t>
      </w:r>
      <w:r w:rsidR="00CE28F4" w:rsidRPr="002D7F07">
        <w:rPr>
          <w:rFonts w:ascii="Calibri" w:eastAsia="Times New Roman" w:hAnsi="Calibri" w:cs="Calibri"/>
          <w:i/>
          <w:iCs/>
          <w:color w:val="212721"/>
          <w:lang w:val="en-US" w:eastAsia="en-GB"/>
        </w:rPr>
        <w:t>ready</w:t>
      </w:r>
      <w:r w:rsidR="0053548D" w:rsidRPr="002D7F07">
        <w:rPr>
          <w:rFonts w:ascii="Calibri" w:eastAsia="Times New Roman" w:hAnsi="Calibri" w:cs="Calibri"/>
          <w:i/>
          <w:iCs/>
          <w:color w:val="212721"/>
          <w:lang w:val="en-US" w:eastAsia="en-GB"/>
        </w:rPr>
        <w:t xml:space="preserve"> </w:t>
      </w:r>
      <w:r w:rsidR="00D813CA" w:rsidRPr="002D7F07">
        <w:rPr>
          <w:rFonts w:ascii="Calibri" w:eastAsia="Times New Roman" w:hAnsi="Calibri" w:cs="Calibri"/>
          <w:i/>
          <w:iCs/>
          <w:color w:val="212721"/>
          <w:lang w:val="en-US" w:eastAsia="en-GB"/>
        </w:rPr>
        <w:t xml:space="preserve">access to </w:t>
      </w:r>
      <w:r w:rsidR="00773069" w:rsidRPr="002D7F07">
        <w:rPr>
          <w:rFonts w:ascii="Calibri" w:eastAsia="Times New Roman" w:hAnsi="Calibri" w:cs="Calibri"/>
          <w:i/>
          <w:iCs/>
          <w:color w:val="212721"/>
          <w:lang w:val="en-US" w:eastAsia="en-GB"/>
        </w:rPr>
        <w:t xml:space="preserve">more </w:t>
      </w:r>
      <w:r w:rsidR="0053548D" w:rsidRPr="002D7F07">
        <w:rPr>
          <w:rFonts w:ascii="Calibri" w:eastAsia="Times New Roman" w:hAnsi="Calibri" w:cs="Calibri"/>
          <w:i/>
          <w:iCs/>
          <w:color w:val="212721"/>
          <w:lang w:val="en-US" w:eastAsia="en-GB"/>
        </w:rPr>
        <w:t>information</w:t>
      </w:r>
      <w:r w:rsidR="00CE28F4" w:rsidRPr="002D7F07">
        <w:rPr>
          <w:rFonts w:ascii="Calibri" w:eastAsia="Times New Roman" w:hAnsi="Calibri" w:cs="Calibri"/>
          <w:i/>
          <w:iCs/>
          <w:color w:val="212721"/>
          <w:lang w:val="en-US" w:eastAsia="en-GB"/>
        </w:rPr>
        <w:t xml:space="preserve"> </w:t>
      </w:r>
      <w:r w:rsidR="008E088E" w:rsidRPr="002D7F07">
        <w:rPr>
          <w:rFonts w:ascii="Calibri" w:eastAsia="Times New Roman" w:hAnsi="Calibri" w:cs="Calibri"/>
          <w:i/>
          <w:iCs/>
          <w:color w:val="212721"/>
          <w:lang w:val="en-US" w:eastAsia="en-GB"/>
        </w:rPr>
        <w:t>about</w:t>
      </w:r>
      <w:r w:rsidR="00522134" w:rsidRPr="002D7F07">
        <w:rPr>
          <w:rFonts w:ascii="Calibri" w:eastAsia="Times New Roman" w:hAnsi="Calibri" w:cs="Calibri"/>
          <w:i/>
          <w:iCs/>
          <w:color w:val="212721"/>
          <w:lang w:val="en-US" w:eastAsia="en-GB"/>
        </w:rPr>
        <w:t xml:space="preserve"> our</w:t>
      </w:r>
      <w:r w:rsidR="00745119" w:rsidRPr="002D7F07">
        <w:rPr>
          <w:rFonts w:ascii="Calibri" w:eastAsia="Times New Roman" w:hAnsi="Calibri" w:cs="Calibri"/>
          <w:i/>
          <w:iCs/>
          <w:color w:val="212721"/>
          <w:lang w:val="en-US" w:eastAsia="en-GB"/>
        </w:rPr>
        <w:t xml:space="preserve"> technology platform</w:t>
      </w:r>
      <w:r w:rsidR="008E088E" w:rsidRPr="002D7F07">
        <w:rPr>
          <w:rFonts w:ascii="Calibri" w:eastAsia="Times New Roman" w:hAnsi="Calibri" w:cs="Calibri"/>
          <w:i/>
          <w:iCs/>
          <w:color w:val="212721"/>
          <w:lang w:val="en-US" w:eastAsia="en-GB"/>
        </w:rPr>
        <w:t xml:space="preserve">, </w:t>
      </w:r>
      <w:r w:rsidR="003B2F85" w:rsidRPr="002D7F07">
        <w:rPr>
          <w:rFonts w:ascii="Calibri" w:eastAsia="Times New Roman" w:hAnsi="Calibri" w:cs="Calibri"/>
          <w:i/>
          <w:iCs/>
          <w:color w:val="212721"/>
          <w:lang w:val="en-US" w:eastAsia="en-GB"/>
        </w:rPr>
        <w:t xml:space="preserve">our ability to </w:t>
      </w:r>
      <w:r w:rsidR="00A67FDE" w:rsidRPr="002D7F07">
        <w:rPr>
          <w:rFonts w:ascii="Calibri" w:eastAsia="Times New Roman" w:hAnsi="Calibri" w:cs="Calibri"/>
          <w:i/>
          <w:iCs/>
          <w:color w:val="212721"/>
          <w:lang w:val="en-US" w:eastAsia="en-GB"/>
        </w:rPr>
        <w:t xml:space="preserve">develop and sell high-value products, </w:t>
      </w:r>
      <w:r w:rsidR="008E088E" w:rsidRPr="002D7F07">
        <w:rPr>
          <w:rFonts w:ascii="Calibri" w:eastAsia="Times New Roman" w:hAnsi="Calibri" w:cs="Calibri"/>
          <w:i/>
          <w:iCs/>
          <w:color w:val="212721"/>
          <w:lang w:val="en-US" w:eastAsia="en-GB"/>
        </w:rPr>
        <w:t xml:space="preserve">our future revenue potential, and </w:t>
      </w:r>
      <w:r w:rsidR="00F96C8D" w:rsidRPr="002D7F07">
        <w:rPr>
          <w:rFonts w:ascii="Calibri" w:eastAsia="Times New Roman" w:hAnsi="Calibri" w:cs="Calibri"/>
          <w:i/>
          <w:iCs/>
          <w:color w:val="212721"/>
          <w:lang w:val="en-US" w:eastAsia="en-GB"/>
        </w:rPr>
        <w:t>our progress towards our goal of being a l</w:t>
      </w:r>
      <w:r w:rsidR="00A67FDE" w:rsidRPr="002D7F07">
        <w:rPr>
          <w:rFonts w:ascii="Calibri" w:eastAsia="Times New Roman" w:hAnsi="Calibri" w:cs="Calibri"/>
          <w:i/>
          <w:iCs/>
          <w:color w:val="212721"/>
          <w:lang w:val="en-US" w:eastAsia="en-GB"/>
        </w:rPr>
        <w:t>a</w:t>
      </w:r>
      <w:r w:rsidR="00F96C8D" w:rsidRPr="002D7F07">
        <w:rPr>
          <w:rFonts w:ascii="Calibri" w:eastAsia="Times New Roman" w:hAnsi="Calibri" w:cs="Calibri"/>
          <w:i/>
          <w:iCs/>
          <w:color w:val="212721"/>
          <w:lang w:val="en-US" w:eastAsia="en-GB"/>
        </w:rPr>
        <w:t xml:space="preserve">rge, </w:t>
      </w:r>
      <w:r w:rsidR="0044590F" w:rsidRPr="002D7F07">
        <w:rPr>
          <w:rFonts w:ascii="Calibri" w:eastAsia="Times New Roman" w:hAnsi="Calibri" w:cs="Calibri"/>
          <w:i/>
          <w:iCs/>
          <w:color w:val="212721"/>
          <w:lang w:val="en-US" w:eastAsia="en-GB"/>
        </w:rPr>
        <w:t>highly profitable</w:t>
      </w:r>
      <w:r w:rsidR="00F96C8D" w:rsidRPr="002D7F07">
        <w:rPr>
          <w:rFonts w:ascii="Calibri" w:eastAsia="Times New Roman" w:hAnsi="Calibri" w:cs="Calibri"/>
          <w:i/>
          <w:iCs/>
          <w:color w:val="212721"/>
          <w:lang w:val="en-US" w:eastAsia="en-GB"/>
        </w:rPr>
        <w:t xml:space="preserve"> specialty ingredients company.</w:t>
      </w:r>
      <w:r w:rsidRPr="002D7F07">
        <w:rPr>
          <w:rFonts w:ascii="Calibri" w:eastAsia="Times New Roman" w:hAnsi="Calibri" w:cs="Calibri"/>
          <w:i/>
          <w:iCs/>
          <w:color w:val="212721"/>
          <w:lang w:val="en-US" w:eastAsia="en-GB"/>
        </w:rPr>
        <w:t>”</w:t>
      </w:r>
    </w:p>
    <w:p w14:paraId="21C3CE1C" w14:textId="77777777" w:rsidR="007A4435" w:rsidRPr="002D7F07" w:rsidRDefault="007A4435" w:rsidP="00BA3CBC">
      <w:pPr>
        <w:pBdr>
          <w:top w:val="nil"/>
          <w:left w:val="nil"/>
          <w:bottom w:val="nil"/>
          <w:right w:val="nil"/>
          <w:between w:val="nil"/>
          <w:bar w:val="nil"/>
        </w:pBdr>
        <w:spacing w:after="0" w:line="240" w:lineRule="auto"/>
        <w:jc w:val="center"/>
        <w:rPr>
          <w:rFonts w:cstheme="minorHAnsi"/>
          <w:b/>
          <w:bCs/>
          <w:color w:val="000000"/>
          <w:u w:color="000000"/>
          <w:bdr w:val="nil"/>
          <w:lang w:val="nl-NL" w:eastAsia="en-GB"/>
        </w:rPr>
      </w:pPr>
      <w:r w:rsidRPr="002D7F07">
        <w:rPr>
          <w:rFonts w:cstheme="minorHAnsi"/>
          <w:b/>
          <w:bCs/>
          <w:color w:val="000000"/>
          <w:u w:color="000000"/>
          <w:bdr w:val="nil"/>
          <w:lang w:val="en-US" w:eastAsia="en-GB"/>
        </w:rPr>
        <w:t>- Ends -</w:t>
      </w:r>
    </w:p>
    <w:p w14:paraId="05ECC9B1" w14:textId="77777777" w:rsidR="00ED4FAF" w:rsidRDefault="00ED4FAF" w:rsidP="008C4258">
      <w:pPr>
        <w:spacing w:after="120" w:line="240" w:lineRule="auto"/>
        <w:rPr>
          <w:rFonts w:cstheme="minorHAnsi"/>
          <w:b/>
          <w:bCs/>
        </w:rPr>
      </w:pPr>
    </w:p>
    <w:p w14:paraId="7C62BBE5" w14:textId="0AF57742" w:rsidR="007A4435" w:rsidRPr="00F7356B" w:rsidRDefault="007A4435" w:rsidP="008C4258">
      <w:pPr>
        <w:spacing w:after="120" w:line="240" w:lineRule="auto"/>
      </w:pPr>
      <w:r w:rsidRPr="00F7356B">
        <w:rPr>
          <w:rFonts w:cstheme="minorHAnsi"/>
          <w:b/>
          <w:bCs/>
        </w:rPr>
        <w:t>Enquiries:</w:t>
      </w:r>
    </w:p>
    <w:tbl>
      <w:tblPr>
        <w:tblW w:w="0" w:type="auto"/>
        <w:tblInd w:w="5" w:type="dxa"/>
        <w:tblCellMar>
          <w:left w:w="0" w:type="dxa"/>
          <w:right w:w="0" w:type="dxa"/>
        </w:tblCellMar>
        <w:tblLook w:val="04A0" w:firstRow="1" w:lastRow="0" w:firstColumn="1" w:lastColumn="0" w:noHBand="0" w:noVBand="1"/>
      </w:tblPr>
      <w:tblGrid>
        <w:gridCol w:w="6078"/>
        <w:gridCol w:w="2827"/>
      </w:tblGrid>
      <w:tr w:rsidR="007A4435" w:rsidRPr="00F7356B" w14:paraId="5C38BA13" w14:textId="77777777" w:rsidTr="00C550AB">
        <w:trPr>
          <w:trHeight w:val="331"/>
        </w:trPr>
        <w:tc>
          <w:tcPr>
            <w:tcW w:w="6078" w:type="dxa"/>
            <w:tcMar>
              <w:top w:w="15" w:type="dxa"/>
              <w:left w:w="15" w:type="dxa"/>
              <w:bottom w:w="15" w:type="dxa"/>
              <w:right w:w="15" w:type="dxa"/>
            </w:tcMar>
            <w:hideMark/>
          </w:tcPr>
          <w:p w14:paraId="72CF38F9" w14:textId="77777777" w:rsidR="007A4435" w:rsidRPr="00F7356B" w:rsidRDefault="007A4435" w:rsidP="00873D20">
            <w:pPr>
              <w:spacing w:after="0" w:line="240" w:lineRule="auto"/>
              <w:rPr>
                <w:rFonts w:eastAsia="Times New Roman"/>
                <w:color w:val="000000"/>
                <w:lang w:eastAsia="en-GB"/>
              </w:rPr>
            </w:pPr>
            <w:r w:rsidRPr="00F7356B">
              <w:rPr>
                <w:rFonts w:ascii="Calibri" w:eastAsia="Times New Roman" w:hAnsi="Calibri" w:cs="Calibri"/>
                <w:b/>
                <w:bCs/>
                <w:color w:val="000000"/>
                <w:lang w:eastAsia="en-GB"/>
              </w:rPr>
              <w:t>Itaconix plc</w:t>
            </w:r>
          </w:p>
        </w:tc>
        <w:tc>
          <w:tcPr>
            <w:tcW w:w="2827" w:type="dxa"/>
            <w:tcMar>
              <w:top w:w="15" w:type="dxa"/>
              <w:left w:w="15" w:type="dxa"/>
              <w:bottom w:w="15" w:type="dxa"/>
              <w:right w:w="15" w:type="dxa"/>
            </w:tcMar>
            <w:hideMark/>
          </w:tcPr>
          <w:p w14:paraId="12C9A12B" w14:textId="77777777" w:rsidR="007A4435" w:rsidRPr="00F7356B" w:rsidRDefault="007A4435" w:rsidP="00873D20">
            <w:pPr>
              <w:spacing w:after="0" w:line="240" w:lineRule="auto"/>
              <w:rPr>
                <w:rFonts w:eastAsia="Times New Roman"/>
                <w:color w:val="000000"/>
                <w:lang w:eastAsia="en-GB"/>
              </w:rPr>
            </w:pPr>
            <w:r w:rsidRPr="00F7356B">
              <w:rPr>
                <w:rFonts w:ascii="Calibri" w:eastAsia="Times New Roman" w:hAnsi="Calibri" w:cs="Calibri"/>
                <w:b/>
                <w:bCs/>
                <w:color w:val="000000"/>
                <w:lang w:eastAsia="en-GB"/>
              </w:rPr>
              <w:t>+1 603 775 4400</w:t>
            </w:r>
          </w:p>
        </w:tc>
      </w:tr>
      <w:tr w:rsidR="007A4435" w:rsidRPr="00F7356B" w14:paraId="47EB2EF9" w14:textId="77777777" w:rsidTr="00C550AB">
        <w:trPr>
          <w:trHeight w:val="331"/>
        </w:trPr>
        <w:tc>
          <w:tcPr>
            <w:tcW w:w="6078" w:type="dxa"/>
            <w:tcMar>
              <w:top w:w="15" w:type="dxa"/>
              <w:left w:w="15" w:type="dxa"/>
              <w:bottom w:w="15" w:type="dxa"/>
              <w:right w:w="15" w:type="dxa"/>
            </w:tcMar>
            <w:hideMark/>
          </w:tcPr>
          <w:p w14:paraId="07474160" w14:textId="77777777" w:rsidR="007A4435" w:rsidRPr="00F7356B" w:rsidRDefault="007A4435" w:rsidP="008057AF">
            <w:pPr>
              <w:spacing w:after="120" w:line="240" w:lineRule="auto"/>
              <w:rPr>
                <w:rFonts w:eastAsia="Times New Roman"/>
                <w:color w:val="000000"/>
                <w:lang w:eastAsia="en-GB"/>
              </w:rPr>
            </w:pPr>
            <w:r w:rsidRPr="00F7356B">
              <w:rPr>
                <w:rFonts w:ascii="Calibri" w:eastAsia="Times New Roman" w:hAnsi="Calibri" w:cs="Calibri"/>
                <w:color w:val="000000"/>
                <w:lang w:eastAsia="en-GB"/>
              </w:rPr>
              <w:t>John R. Shaw / Laura Denner</w:t>
            </w:r>
          </w:p>
        </w:tc>
        <w:tc>
          <w:tcPr>
            <w:tcW w:w="2827" w:type="dxa"/>
            <w:tcMar>
              <w:top w:w="15" w:type="dxa"/>
              <w:left w:w="15" w:type="dxa"/>
              <w:bottom w:w="15" w:type="dxa"/>
              <w:right w:w="15" w:type="dxa"/>
            </w:tcMar>
            <w:hideMark/>
          </w:tcPr>
          <w:p w14:paraId="53A3A484" w14:textId="77777777" w:rsidR="007A4435" w:rsidRPr="00F7356B" w:rsidRDefault="007A4435" w:rsidP="00873D20">
            <w:pPr>
              <w:spacing w:after="0" w:line="240" w:lineRule="auto"/>
              <w:rPr>
                <w:rFonts w:eastAsia="Times New Roman"/>
                <w:color w:val="000000"/>
                <w:lang w:eastAsia="en-GB"/>
              </w:rPr>
            </w:pPr>
          </w:p>
        </w:tc>
      </w:tr>
      <w:tr w:rsidR="007A4435" w:rsidRPr="00F7356B" w14:paraId="2DFC5E1D" w14:textId="77777777" w:rsidTr="00C550AB">
        <w:trPr>
          <w:trHeight w:val="330"/>
        </w:trPr>
        <w:tc>
          <w:tcPr>
            <w:tcW w:w="6078" w:type="dxa"/>
            <w:tcMar>
              <w:top w:w="15" w:type="dxa"/>
              <w:left w:w="15" w:type="dxa"/>
              <w:bottom w:w="15" w:type="dxa"/>
              <w:right w:w="15" w:type="dxa"/>
            </w:tcMar>
            <w:hideMark/>
          </w:tcPr>
          <w:p w14:paraId="2475EA30" w14:textId="77777777" w:rsidR="007A4435" w:rsidRPr="00F7356B" w:rsidRDefault="007A4435" w:rsidP="00873D20">
            <w:pPr>
              <w:spacing w:after="0" w:line="240" w:lineRule="auto"/>
              <w:rPr>
                <w:rFonts w:eastAsia="Times New Roman"/>
                <w:color w:val="000000"/>
                <w:lang w:eastAsia="en-GB"/>
              </w:rPr>
            </w:pPr>
            <w:r w:rsidRPr="00F7356B">
              <w:rPr>
                <w:rFonts w:ascii="Calibri" w:eastAsia="Times New Roman" w:hAnsi="Calibri" w:cs="Calibri"/>
                <w:b/>
                <w:bCs/>
                <w:color w:val="000000"/>
                <w:lang w:eastAsia="en-GB"/>
              </w:rPr>
              <w:t xml:space="preserve">Rosewood </w:t>
            </w:r>
          </w:p>
        </w:tc>
        <w:tc>
          <w:tcPr>
            <w:tcW w:w="2827" w:type="dxa"/>
            <w:tcMar>
              <w:top w:w="15" w:type="dxa"/>
              <w:left w:w="15" w:type="dxa"/>
              <w:bottom w:w="15" w:type="dxa"/>
              <w:right w:w="15" w:type="dxa"/>
            </w:tcMar>
            <w:hideMark/>
          </w:tcPr>
          <w:p w14:paraId="5AA60435" w14:textId="77777777" w:rsidR="007A4435" w:rsidRPr="00F7356B" w:rsidRDefault="007A4435" w:rsidP="00873D20">
            <w:pPr>
              <w:pStyle w:val="cu"/>
              <w:spacing w:before="0" w:beforeAutospacing="0" w:after="0" w:afterAutospacing="0"/>
              <w:rPr>
                <w:rFonts w:ascii="Arial" w:hAnsi="Arial" w:cs="Arial"/>
                <w:color w:val="000000"/>
                <w:kern w:val="2"/>
                <w:sz w:val="22"/>
                <w:szCs w:val="22"/>
                <w:lang w:eastAsia="en-US"/>
                <w14:ligatures w14:val="standardContextual"/>
              </w:rPr>
            </w:pPr>
            <w:r w:rsidRPr="00F7356B">
              <w:rPr>
                <w:rStyle w:val="bw"/>
                <w:rFonts w:ascii="Calibri" w:hAnsi="Calibri" w:cs="Calibri"/>
                <w:b/>
                <w:bCs/>
                <w:color w:val="212721"/>
                <w:kern w:val="2"/>
                <w:sz w:val="22"/>
                <w:szCs w:val="22"/>
                <w:lang w:eastAsia="en-US"/>
                <w14:ligatures w14:val="standardContextual"/>
              </w:rPr>
              <w:t xml:space="preserve">+44 (0) </w:t>
            </w:r>
            <w:r w:rsidRPr="00F7356B">
              <w:rPr>
                <w:rFonts w:ascii="Calibri" w:hAnsi="Calibri" w:cs="Calibri"/>
                <w:b/>
                <w:bCs/>
                <w:color w:val="212721"/>
                <w:kern w:val="2"/>
                <w:sz w:val="22"/>
                <w:szCs w:val="22"/>
                <w:lang w:eastAsia="en-US"/>
                <w14:ligatures w14:val="standardContextual"/>
              </w:rPr>
              <w:t>207 653 8704</w:t>
            </w:r>
          </w:p>
        </w:tc>
      </w:tr>
      <w:tr w:rsidR="007A4435" w:rsidRPr="00F7356B" w14:paraId="0FC2C40F" w14:textId="77777777" w:rsidTr="00C550AB">
        <w:trPr>
          <w:trHeight w:val="330"/>
        </w:trPr>
        <w:tc>
          <w:tcPr>
            <w:tcW w:w="6078" w:type="dxa"/>
            <w:tcMar>
              <w:top w:w="15" w:type="dxa"/>
              <w:left w:w="15" w:type="dxa"/>
              <w:bottom w:w="15" w:type="dxa"/>
              <w:right w:w="15" w:type="dxa"/>
            </w:tcMar>
            <w:hideMark/>
          </w:tcPr>
          <w:p w14:paraId="45B357DA" w14:textId="77777777" w:rsidR="007A4435" w:rsidRPr="00F7356B" w:rsidRDefault="007A4435" w:rsidP="00873D20">
            <w:pPr>
              <w:spacing w:after="0" w:line="240" w:lineRule="auto"/>
              <w:rPr>
                <w:rFonts w:ascii="Calibri" w:eastAsia="Times New Roman" w:hAnsi="Calibri" w:cs="Calibri"/>
                <w:color w:val="000000"/>
                <w:lang w:eastAsia="en-GB"/>
              </w:rPr>
            </w:pPr>
            <w:r w:rsidRPr="00F7356B">
              <w:rPr>
                <w:rFonts w:ascii="Calibri" w:eastAsia="Times New Roman" w:hAnsi="Calibri" w:cs="Calibri"/>
                <w:color w:val="000000"/>
                <w:lang w:eastAsia="en-GB"/>
              </w:rPr>
              <w:t>Financial PR</w:t>
            </w:r>
          </w:p>
          <w:p w14:paraId="0C3E0D75" w14:textId="77777777" w:rsidR="007A4435" w:rsidRPr="00F7356B" w:rsidRDefault="007A4435" w:rsidP="008057AF">
            <w:pPr>
              <w:spacing w:after="120" w:line="240" w:lineRule="auto"/>
              <w:rPr>
                <w:rFonts w:eastAsia="Times New Roman"/>
                <w:color w:val="000000"/>
                <w:lang w:eastAsia="en-GB"/>
              </w:rPr>
            </w:pPr>
            <w:r w:rsidRPr="00F7356B">
              <w:rPr>
                <w:rFonts w:ascii="Calibri" w:eastAsia="Times New Roman" w:hAnsi="Calibri" w:cs="Calibri"/>
                <w:color w:val="000000"/>
                <w:lang w:eastAsia="en-GB"/>
              </w:rPr>
              <w:t>John West / Llew Angus</w:t>
            </w:r>
          </w:p>
        </w:tc>
        <w:tc>
          <w:tcPr>
            <w:tcW w:w="2827" w:type="dxa"/>
            <w:tcMar>
              <w:top w:w="15" w:type="dxa"/>
              <w:left w:w="15" w:type="dxa"/>
              <w:bottom w:w="15" w:type="dxa"/>
              <w:right w:w="15" w:type="dxa"/>
            </w:tcMar>
            <w:hideMark/>
          </w:tcPr>
          <w:p w14:paraId="4396EB04" w14:textId="77777777" w:rsidR="007A4435" w:rsidRPr="00F7356B" w:rsidRDefault="007A4435" w:rsidP="00873D20">
            <w:pPr>
              <w:spacing w:after="0" w:line="240" w:lineRule="auto"/>
              <w:rPr>
                <w:rFonts w:eastAsia="Times New Roman"/>
                <w:color w:val="000000"/>
                <w:lang w:eastAsia="en-GB"/>
              </w:rPr>
            </w:pPr>
          </w:p>
        </w:tc>
      </w:tr>
      <w:tr w:rsidR="007A4435" w:rsidRPr="00F7356B" w14:paraId="3E73688A" w14:textId="77777777" w:rsidTr="00C550AB">
        <w:trPr>
          <w:trHeight w:val="330"/>
        </w:trPr>
        <w:tc>
          <w:tcPr>
            <w:tcW w:w="6078" w:type="dxa"/>
            <w:tcMar>
              <w:top w:w="15" w:type="dxa"/>
              <w:left w:w="15" w:type="dxa"/>
              <w:bottom w:w="15" w:type="dxa"/>
              <w:right w:w="15" w:type="dxa"/>
            </w:tcMar>
            <w:hideMark/>
          </w:tcPr>
          <w:p w14:paraId="3DE8317E" w14:textId="77777777" w:rsidR="007A4435" w:rsidRPr="00F7356B" w:rsidRDefault="007A4435" w:rsidP="00873D20">
            <w:pPr>
              <w:spacing w:after="0" w:line="240" w:lineRule="auto"/>
              <w:rPr>
                <w:rFonts w:eastAsia="Times New Roman"/>
                <w:color w:val="000000"/>
                <w:lang w:eastAsia="en-GB"/>
              </w:rPr>
            </w:pPr>
            <w:r w:rsidRPr="00F7356B">
              <w:rPr>
                <w:rFonts w:ascii="Calibri" w:eastAsia="Times New Roman" w:hAnsi="Calibri" w:cs="Calibri"/>
                <w:b/>
                <w:bCs/>
                <w:color w:val="000000"/>
                <w:lang w:eastAsia="en-GB"/>
              </w:rPr>
              <w:t>Canaccord Genuity</w:t>
            </w:r>
          </w:p>
        </w:tc>
        <w:tc>
          <w:tcPr>
            <w:tcW w:w="2827" w:type="dxa"/>
            <w:tcMar>
              <w:top w:w="15" w:type="dxa"/>
              <w:left w:w="15" w:type="dxa"/>
              <w:bottom w:w="15" w:type="dxa"/>
              <w:right w:w="15" w:type="dxa"/>
            </w:tcMar>
            <w:hideMark/>
          </w:tcPr>
          <w:p w14:paraId="0FBF718A" w14:textId="77777777" w:rsidR="007A4435" w:rsidRPr="00F7356B" w:rsidRDefault="007A4435" w:rsidP="00873D20">
            <w:pPr>
              <w:spacing w:after="0" w:line="240" w:lineRule="auto"/>
              <w:rPr>
                <w:rFonts w:eastAsia="Times New Roman"/>
                <w:color w:val="000000"/>
                <w:lang w:eastAsia="en-GB"/>
              </w:rPr>
            </w:pPr>
            <w:r w:rsidRPr="00F7356B">
              <w:rPr>
                <w:rFonts w:ascii="Calibri" w:eastAsia="Times New Roman" w:hAnsi="Calibri" w:cs="Calibri"/>
                <w:b/>
                <w:bCs/>
                <w:color w:val="000000"/>
                <w:lang w:eastAsia="en-GB"/>
              </w:rPr>
              <w:t>+44 (0) 7523 8000</w:t>
            </w:r>
          </w:p>
        </w:tc>
      </w:tr>
      <w:tr w:rsidR="007A4435" w14:paraId="2C46E439" w14:textId="77777777" w:rsidTr="00C550AB">
        <w:trPr>
          <w:trHeight w:val="330"/>
        </w:trPr>
        <w:tc>
          <w:tcPr>
            <w:tcW w:w="6078" w:type="dxa"/>
            <w:tcMar>
              <w:top w:w="15" w:type="dxa"/>
              <w:left w:w="15" w:type="dxa"/>
              <w:bottom w:w="15" w:type="dxa"/>
              <w:right w:w="15" w:type="dxa"/>
            </w:tcMar>
            <w:hideMark/>
          </w:tcPr>
          <w:p w14:paraId="71DE492B" w14:textId="77777777" w:rsidR="007A4435" w:rsidRDefault="007A4435" w:rsidP="00873D20">
            <w:pPr>
              <w:spacing w:after="0" w:line="240" w:lineRule="auto"/>
              <w:rPr>
                <w:rFonts w:ascii="Calibri" w:hAnsi="Calibri" w:cs="Calibri"/>
                <w:color w:val="212721"/>
              </w:rPr>
            </w:pPr>
            <w:r>
              <w:rPr>
                <w:rFonts w:ascii="Calibri" w:hAnsi="Calibri" w:cs="Calibri"/>
                <w:color w:val="212721"/>
              </w:rPr>
              <w:t>Nominated Adviser and Sole Broker</w:t>
            </w:r>
          </w:p>
          <w:p w14:paraId="6C7E52D1" w14:textId="77A9E703" w:rsidR="00BE2918" w:rsidRDefault="00BE2918" w:rsidP="008057AF">
            <w:pPr>
              <w:spacing w:after="120" w:line="240" w:lineRule="auto"/>
              <w:rPr>
                <w:rFonts w:ascii="Calibri" w:eastAsia="Times New Roman" w:hAnsi="Calibri" w:cs="Calibri"/>
                <w:b/>
                <w:bCs/>
                <w:color w:val="000000"/>
                <w:lang w:eastAsia="en-GB"/>
              </w:rPr>
            </w:pPr>
            <w:r>
              <w:rPr>
                <w:rFonts w:ascii="Calibri" w:eastAsia="Times New Roman" w:hAnsi="Calibri" w:cs="Calibri"/>
                <w:color w:val="000000"/>
                <w:lang w:eastAsia="en-GB"/>
              </w:rPr>
              <w:t>Adam James / Harry Pardoe</w:t>
            </w:r>
          </w:p>
        </w:tc>
        <w:tc>
          <w:tcPr>
            <w:tcW w:w="2827" w:type="dxa"/>
            <w:tcMar>
              <w:top w:w="15" w:type="dxa"/>
              <w:left w:w="15" w:type="dxa"/>
              <w:bottom w:w="15" w:type="dxa"/>
              <w:right w:w="15" w:type="dxa"/>
            </w:tcMar>
          </w:tcPr>
          <w:p w14:paraId="453C1037" w14:textId="77777777" w:rsidR="007A4435" w:rsidRDefault="007A4435" w:rsidP="00873D20">
            <w:pPr>
              <w:spacing w:after="0" w:line="240" w:lineRule="auto"/>
              <w:rPr>
                <w:rFonts w:ascii="Calibri" w:eastAsia="Times New Roman" w:hAnsi="Calibri" w:cs="Calibri"/>
                <w:b/>
                <w:bCs/>
                <w:color w:val="000000"/>
                <w:lang w:eastAsia="en-GB"/>
              </w:rPr>
            </w:pPr>
          </w:p>
        </w:tc>
      </w:tr>
    </w:tbl>
    <w:p w14:paraId="2294AD6F" w14:textId="77777777" w:rsidR="007A4435" w:rsidRDefault="007A4435" w:rsidP="001743DD">
      <w:pPr>
        <w:spacing w:after="120" w:line="240" w:lineRule="auto"/>
        <w:rPr>
          <w:rFonts w:cstheme="minorHAnsi"/>
          <w:b/>
          <w:bCs/>
        </w:rPr>
      </w:pPr>
    </w:p>
    <w:p w14:paraId="3CCE3EE9" w14:textId="77777777" w:rsidR="007A4435" w:rsidRPr="00605003" w:rsidRDefault="007A4435" w:rsidP="001743DD">
      <w:pPr>
        <w:spacing w:after="120" w:line="240" w:lineRule="auto"/>
        <w:rPr>
          <w:rFonts w:cstheme="minorHAnsi"/>
        </w:rPr>
      </w:pPr>
      <w:r w:rsidRPr="00605003">
        <w:rPr>
          <w:rFonts w:cstheme="minorHAnsi"/>
          <w:b/>
          <w:bCs/>
        </w:rPr>
        <w:t>About Itaconix</w:t>
      </w:r>
    </w:p>
    <w:p w14:paraId="4F504457" w14:textId="77777777" w:rsidR="007A4435" w:rsidRDefault="007A4435" w:rsidP="001743DD">
      <w:pPr>
        <w:spacing w:after="120" w:line="240" w:lineRule="auto"/>
        <w:rPr>
          <w:rFonts w:ascii="Calibri" w:eastAsia="Times New Roman" w:hAnsi="Calibri" w:cs="Calibri"/>
          <w:color w:val="000000"/>
          <w:lang w:eastAsia="en-GB"/>
        </w:rPr>
      </w:pPr>
      <w:r>
        <w:rPr>
          <w:rFonts w:ascii="Calibri" w:eastAsia="Times New Roman" w:hAnsi="Calibri" w:cs="Calibri"/>
          <w:color w:val="000000"/>
          <w:lang w:eastAsia="en-GB"/>
        </w:rPr>
        <w:t>Itaconix uses its proprietary plant-based polymer technology platform to produce and sell specialty ingredients that improve the safety, performance, and sustainability of consumer products. The Company's current ingredients are enabling and leading new generations of products in detergents, hygiene, and hair care. Itaconix's products contribute to the global low carbon economy.</w:t>
      </w:r>
    </w:p>
    <w:p w14:paraId="555A9353" w14:textId="77777777" w:rsidR="007A4435" w:rsidRPr="00605003" w:rsidRDefault="007A4435" w:rsidP="001743DD">
      <w:pPr>
        <w:spacing w:after="120" w:line="240" w:lineRule="auto"/>
        <w:rPr>
          <w:rFonts w:cstheme="minorHAnsi"/>
        </w:rPr>
      </w:pPr>
      <w:hyperlink r:id="rId10" w:history="1">
        <w:r w:rsidRPr="00605003">
          <w:rPr>
            <w:rStyle w:val="Hyperlink"/>
            <w:rFonts w:cstheme="minorHAnsi"/>
          </w:rPr>
          <w:t>www.itaconix.com</w:t>
        </w:r>
      </w:hyperlink>
    </w:p>
    <w:sectPr w:rsidR="007A4435" w:rsidRPr="0060500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97A98" w14:textId="77777777" w:rsidR="00E9476F" w:rsidRDefault="00E9476F" w:rsidP="001679FF">
      <w:pPr>
        <w:spacing w:after="0" w:line="240" w:lineRule="auto"/>
      </w:pPr>
      <w:r>
        <w:separator/>
      </w:r>
    </w:p>
  </w:endnote>
  <w:endnote w:type="continuationSeparator" w:id="0">
    <w:p w14:paraId="0BBD3D0E" w14:textId="77777777" w:rsidR="00E9476F" w:rsidRDefault="00E9476F" w:rsidP="0016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C56C6" w14:textId="77777777" w:rsidR="001679FF" w:rsidRDefault="00167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A3675" w14:textId="77777777" w:rsidR="001679FF" w:rsidRDefault="00167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26A43" w14:textId="77777777" w:rsidR="001679FF" w:rsidRDefault="0016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F9AA6" w14:textId="77777777" w:rsidR="00E9476F" w:rsidRDefault="00E9476F" w:rsidP="001679FF">
      <w:pPr>
        <w:spacing w:after="0" w:line="240" w:lineRule="auto"/>
      </w:pPr>
      <w:r>
        <w:separator/>
      </w:r>
    </w:p>
  </w:footnote>
  <w:footnote w:type="continuationSeparator" w:id="0">
    <w:p w14:paraId="4B2B1B62" w14:textId="77777777" w:rsidR="00E9476F" w:rsidRDefault="00E9476F" w:rsidP="0016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CDBC9" w14:textId="77777777" w:rsidR="001679FF" w:rsidRDefault="00167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041A9" w14:textId="77777777" w:rsidR="001679FF" w:rsidRDefault="00167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878A" w14:textId="77777777" w:rsidR="001679FF" w:rsidRDefault="0016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8B09D2"/>
    <w:multiLevelType w:val="hybridMultilevel"/>
    <w:tmpl w:val="E4E6CB6A"/>
    <w:lvl w:ilvl="0" w:tplc="215C23E8">
      <w:start w:val="1"/>
      <w:numFmt w:val="decimal"/>
      <w:lvlText w:val="%1)"/>
      <w:lvlJc w:val="left"/>
      <w:pPr>
        <w:ind w:left="720" w:hanging="360"/>
      </w:pPr>
      <w:rPr>
        <w:rFonts w:ascii="Calibri" w:eastAsia="Times New Roman" w:hAnsi="Calibri" w:cs="Calibri" w:hint="default"/>
        <w:color w:val="21272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654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FSAuthor1stName" w:val="Jonathan"/>
    <w:docVar w:name="FSAuthorEmail" w:val="Jonathan.Brooks@fieldfisher.com"/>
    <w:docVar w:name="FSAuthorExt" w:val="+44 330 460 6401"/>
    <w:docVar w:name="FSAuthorFax" w:val="+44 207 488 0084"/>
    <w:docVar w:name="FSAuthorLogon" w:val="JB11"/>
    <w:docVar w:name="FSAuthorMobile" w:val="+44 7725 619189"/>
    <w:docVar w:name="FSAuthorName" w:val="Jonathan Brooks"/>
    <w:docVar w:name="FSAuthorOffice" w:val="London"/>
    <w:docVar w:name="FSAuthorSurname" w:val="Brooks"/>
    <w:docVar w:name="FSAuthorTitle" w:val="Partner"/>
    <w:docVar w:name="FSClientName" w:val="Itaconix plc"/>
    <w:docVar w:name="FSClientNumber" w:val="UK01-053953"/>
    <w:docVar w:name="FSDocNumber" w:val="109859805"/>
    <w:docVar w:name="FSDocVersion" w:val="2"/>
    <w:docVar w:name="FSMatterDesc" w:val="Project Tulip"/>
    <w:docVar w:name="FSMatterNumber" w:val="00016"/>
    <w:docVar w:name="FSTypist" w:val="JB11"/>
    <w:docVar w:name="FSTypistExt" w:val="+44 330 460 6401"/>
    <w:docVar w:name="FSTypistLogon" w:val="JB11"/>
    <w:docVar w:name="FSTypistName" w:val="Jonathan Brooks"/>
  </w:docVars>
  <w:rsids>
    <w:rsidRoot w:val="003C0877"/>
    <w:rsid w:val="0002392E"/>
    <w:rsid w:val="00031C5B"/>
    <w:rsid w:val="000423B7"/>
    <w:rsid w:val="00042BD7"/>
    <w:rsid w:val="00055C1B"/>
    <w:rsid w:val="00057DF8"/>
    <w:rsid w:val="00063FAF"/>
    <w:rsid w:val="0006525F"/>
    <w:rsid w:val="000906C4"/>
    <w:rsid w:val="000A3878"/>
    <w:rsid w:val="000B0685"/>
    <w:rsid w:val="000B1FF3"/>
    <w:rsid w:val="000B5A16"/>
    <w:rsid w:val="000E111B"/>
    <w:rsid w:val="000E2329"/>
    <w:rsid w:val="00107BA4"/>
    <w:rsid w:val="00107E13"/>
    <w:rsid w:val="00143DBC"/>
    <w:rsid w:val="001449B3"/>
    <w:rsid w:val="00161996"/>
    <w:rsid w:val="0016307A"/>
    <w:rsid w:val="001679FF"/>
    <w:rsid w:val="001743DD"/>
    <w:rsid w:val="0017572A"/>
    <w:rsid w:val="00177911"/>
    <w:rsid w:val="001B1528"/>
    <w:rsid w:val="001B2C20"/>
    <w:rsid w:val="001B5730"/>
    <w:rsid w:val="001C4674"/>
    <w:rsid w:val="001C4BAC"/>
    <w:rsid w:val="001F5E3D"/>
    <w:rsid w:val="00212B29"/>
    <w:rsid w:val="00286472"/>
    <w:rsid w:val="002949B5"/>
    <w:rsid w:val="00295357"/>
    <w:rsid w:val="002A023A"/>
    <w:rsid w:val="002A150E"/>
    <w:rsid w:val="002A2237"/>
    <w:rsid w:val="002D7F07"/>
    <w:rsid w:val="002E0AC7"/>
    <w:rsid w:val="002E3842"/>
    <w:rsid w:val="002F6AA1"/>
    <w:rsid w:val="002F7901"/>
    <w:rsid w:val="00313019"/>
    <w:rsid w:val="00315F5C"/>
    <w:rsid w:val="00317355"/>
    <w:rsid w:val="00321278"/>
    <w:rsid w:val="00334DD2"/>
    <w:rsid w:val="00347B43"/>
    <w:rsid w:val="00354FC0"/>
    <w:rsid w:val="003616CC"/>
    <w:rsid w:val="0038459B"/>
    <w:rsid w:val="0039034B"/>
    <w:rsid w:val="00395A46"/>
    <w:rsid w:val="00395E3C"/>
    <w:rsid w:val="003B08FC"/>
    <w:rsid w:val="003B2F85"/>
    <w:rsid w:val="003B556E"/>
    <w:rsid w:val="003C0877"/>
    <w:rsid w:val="003D1AEB"/>
    <w:rsid w:val="003E490D"/>
    <w:rsid w:val="003F42D2"/>
    <w:rsid w:val="00420633"/>
    <w:rsid w:val="0044590F"/>
    <w:rsid w:val="00455711"/>
    <w:rsid w:val="00471F99"/>
    <w:rsid w:val="00475085"/>
    <w:rsid w:val="0048053B"/>
    <w:rsid w:val="0049320B"/>
    <w:rsid w:val="004C2292"/>
    <w:rsid w:val="004C3617"/>
    <w:rsid w:val="004F1575"/>
    <w:rsid w:val="004F2148"/>
    <w:rsid w:val="00500D8C"/>
    <w:rsid w:val="0051034B"/>
    <w:rsid w:val="0051205A"/>
    <w:rsid w:val="0051617A"/>
    <w:rsid w:val="00520E11"/>
    <w:rsid w:val="00522134"/>
    <w:rsid w:val="00527B1E"/>
    <w:rsid w:val="0053548D"/>
    <w:rsid w:val="00541824"/>
    <w:rsid w:val="00542E54"/>
    <w:rsid w:val="00556A71"/>
    <w:rsid w:val="00562280"/>
    <w:rsid w:val="00564672"/>
    <w:rsid w:val="00574D85"/>
    <w:rsid w:val="00581B96"/>
    <w:rsid w:val="00586CAA"/>
    <w:rsid w:val="00594289"/>
    <w:rsid w:val="00595D1A"/>
    <w:rsid w:val="005B06EE"/>
    <w:rsid w:val="005B10FF"/>
    <w:rsid w:val="005C7CC5"/>
    <w:rsid w:val="005E66A6"/>
    <w:rsid w:val="005F07AD"/>
    <w:rsid w:val="005F259E"/>
    <w:rsid w:val="005F646D"/>
    <w:rsid w:val="00616414"/>
    <w:rsid w:val="00625ECA"/>
    <w:rsid w:val="00631497"/>
    <w:rsid w:val="0063772C"/>
    <w:rsid w:val="00640FB9"/>
    <w:rsid w:val="00645E5A"/>
    <w:rsid w:val="00650B64"/>
    <w:rsid w:val="006609D3"/>
    <w:rsid w:val="00665E85"/>
    <w:rsid w:val="006671A7"/>
    <w:rsid w:val="006741F3"/>
    <w:rsid w:val="00681162"/>
    <w:rsid w:val="00685DD4"/>
    <w:rsid w:val="00696B58"/>
    <w:rsid w:val="006B4F29"/>
    <w:rsid w:val="006C17B7"/>
    <w:rsid w:val="006C379C"/>
    <w:rsid w:val="006C4415"/>
    <w:rsid w:val="006C68BD"/>
    <w:rsid w:val="006E710D"/>
    <w:rsid w:val="00705944"/>
    <w:rsid w:val="00711283"/>
    <w:rsid w:val="007131FE"/>
    <w:rsid w:val="00724374"/>
    <w:rsid w:val="00741938"/>
    <w:rsid w:val="00745119"/>
    <w:rsid w:val="007556D5"/>
    <w:rsid w:val="007603AB"/>
    <w:rsid w:val="007668D0"/>
    <w:rsid w:val="00767D5D"/>
    <w:rsid w:val="00772BD4"/>
    <w:rsid w:val="00773069"/>
    <w:rsid w:val="007756FB"/>
    <w:rsid w:val="00785536"/>
    <w:rsid w:val="00797B92"/>
    <w:rsid w:val="007A1F7C"/>
    <w:rsid w:val="007A2961"/>
    <w:rsid w:val="007A4435"/>
    <w:rsid w:val="007D4958"/>
    <w:rsid w:val="007F15F8"/>
    <w:rsid w:val="008034BA"/>
    <w:rsid w:val="008052D1"/>
    <w:rsid w:val="008057AF"/>
    <w:rsid w:val="0081042C"/>
    <w:rsid w:val="008274FC"/>
    <w:rsid w:val="008705D4"/>
    <w:rsid w:val="00873D20"/>
    <w:rsid w:val="008776B8"/>
    <w:rsid w:val="0089456E"/>
    <w:rsid w:val="00895C87"/>
    <w:rsid w:val="008C07CB"/>
    <w:rsid w:val="008C4258"/>
    <w:rsid w:val="008C7241"/>
    <w:rsid w:val="008E088E"/>
    <w:rsid w:val="008E0D2E"/>
    <w:rsid w:val="00906909"/>
    <w:rsid w:val="009124A9"/>
    <w:rsid w:val="00936712"/>
    <w:rsid w:val="00940629"/>
    <w:rsid w:val="00945065"/>
    <w:rsid w:val="00952A44"/>
    <w:rsid w:val="009539B6"/>
    <w:rsid w:val="009723BC"/>
    <w:rsid w:val="00973081"/>
    <w:rsid w:val="009751E9"/>
    <w:rsid w:val="00995D6F"/>
    <w:rsid w:val="009962AB"/>
    <w:rsid w:val="009C296A"/>
    <w:rsid w:val="009C633F"/>
    <w:rsid w:val="009F17E0"/>
    <w:rsid w:val="009F720C"/>
    <w:rsid w:val="00A01B9B"/>
    <w:rsid w:val="00A14DC8"/>
    <w:rsid w:val="00A32F88"/>
    <w:rsid w:val="00A3337C"/>
    <w:rsid w:val="00A67D8E"/>
    <w:rsid w:val="00A67FDE"/>
    <w:rsid w:val="00A7447B"/>
    <w:rsid w:val="00A93E9F"/>
    <w:rsid w:val="00A95C46"/>
    <w:rsid w:val="00AA0377"/>
    <w:rsid w:val="00AF318C"/>
    <w:rsid w:val="00B05204"/>
    <w:rsid w:val="00B25DE2"/>
    <w:rsid w:val="00B270BE"/>
    <w:rsid w:val="00B634B8"/>
    <w:rsid w:val="00B67D87"/>
    <w:rsid w:val="00B72861"/>
    <w:rsid w:val="00B91716"/>
    <w:rsid w:val="00BA03AE"/>
    <w:rsid w:val="00BA0EA0"/>
    <w:rsid w:val="00BA1876"/>
    <w:rsid w:val="00BA36E6"/>
    <w:rsid w:val="00BA3CBC"/>
    <w:rsid w:val="00BC41C4"/>
    <w:rsid w:val="00BC75E4"/>
    <w:rsid w:val="00BE2918"/>
    <w:rsid w:val="00BF6AE3"/>
    <w:rsid w:val="00C2560C"/>
    <w:rsid w:val="00C5135D"/>
    <w:rsid w:val="00C52F1A"/>
    <w:rsid w:val="00C5350C"/>
    <w:rsid w:val="00C550AB"/>
    <w:rsid w:val="00C6005D"/>
    <w:rsid w:val="00C6736A"/>
    <w:rsid w:val="00C81C0C"/>
    <w:rsid w:val="00CA2EE4"/>
    <w:rsid w:val="00CA5DD7"/>
    <w:rsid w:val="00CD3BD9"/>
    <w:rsid w:val="00CD6A72"/>
    <w:rsid w:val="00CE0F3E"/>
    <w:rsid w:val="00CE28F4"/>
    <w:rsid w:val="00CE37F8"/>
    <w:rsid w:val="00CE426F"/>
    <w:rsid w:val="00D00A25"/>
    <w:rsid w:val="00D069DF"/>
    <w:rsid w:val="00D06E89"/>
    <w:rsid w:val="00D23807"/>
    <w:rsid w:val="00D37D58"/>
    <w:rsid w:val="00D41851"/>
    <w:rsid w:val="00D52B9B"/>
    <w:rsid w:val="00D52C70"/>
    <w:rsid w:val="00D813CA"/>
    <w:rsid w:val="00D86C0D"/>
    <w:rsid w:val="00DA50C0"/>
    <w:rsid w:val="00DC1AEB"/>
    <w:rsid w:val="00DC7D3C"/>
    <w:rsid w:val="00DD5AE9"/>
    <w:rsid w:val="00DD66D4"/>
    <w:rsid w:val="00DE2F61"/>
    <w:rsid w:val="00DF1848"/>
    <w:rsid w:val="00E00199"/>
    <w:rsid w:val="00E07490"/>
    <w:rsid w:val="00E077AF"/>
    <w:rsid w:val="00E10961"/>
    <w:rsid w:val="00E11D3A"/>
    <w:rsid w:val="00E42444"/>
    <w:rsid w:val="00E61F5E"/>
    <w:rsid w:val="00E9476F"/>
    <w:rsid w:val="00ED4FAF"/>
    <w:rsid w:val="00EE2579"/>
    <w:rsid w:val="00EE3851"/>
    <w:rsid w:val="00EE6185"/>
    <w:rsid w:val="00EF1232"/>
    <w:rsid w:val="00F044AD"/>
    <w:rsid w:val="00F25BFD"/>
    <w:rsid w:val="00F268B8"/>
    <w:rsid w:val="00F417FC"/>
    <w:rsid w:val="00F63341"/>
    <w:rsid w:val="00F65430"/>
    <w:rsid w:val="00F65A52"/>
    <w:rsid w:val="00F71842"/>
    <w:rsid w:val="00F7356B"/>
    <w:rsid w:val="00F813BE"/>
    <w:rsid w:val="00F84A66"/>
    <w:rsid w:val="00F93212"/>
    <w:rsid w:val="00F96C8D"/>
    <w:rsid w:val="00FC5F8A"/>
    <w:rsid w:val="00FD408F"/>
    <w:rsid w:val="00FD52C3"/>
    <w:rsid w:val="00FE0496"/>
    <w:rsid w:val="00FE0F60"/>
    <w:rsid w:val="00FE2744"/>
    <w:rsid w:val="00FE6341"/>
    <w:rsid w:val="00FF1209"/>
    <w:rsid w:val="00FF152B"/>
    <w:rsid w:val="00FF5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B1C6"/>
  <w15:chartTrackingRefBased/>
  <w15:docId w15:val="{0EB0AC73-C277-4F22-9BE5-A5D6859E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877"/>
    <w:pPr>
      <w:ind w:left="720"/>
      <w:contextualSpacing/>
    </w:pPr>
  </w:style>
  <w:style w:type="character" w:styleId="CommentReference">
    <w:name w:val="annotation reference"/>
    <w:basedOn w:val="DefaultParagraphFont"/>
    <w:uiPriority w:val="99"/>
    <w:semiHidden/>
    <w:unhideWhenUsed/>
    <w:rsid w:val="00F65430"/>
    <w:rPr>
      <w:sz w:val="16"/>
      <w:szCs w:val="16"/>
    </w:rPr>
  </w:style>
  <w:style w:type="paragraph" w:styleId="CommentText">
    <w:name w:val="annotation text"/>
    <w:basedOn w:val="Normal"/>
    <w:link w:val="CommentTextChar"/>
    <w:uiPriority w:val="99"/>
    <w:unhideWhenUsed/>
    <w:rsid w:val="00F65430"/>
    <w:pPr>
      <w:spacing w:line="240" w:lineRule="auto"/>
    </w:pPr>
    <w:rPr>
      <w:sz w:val="20"/>
      <w:szCs w:val="20"/>
    </w:rPr>
  </w:style>
  <w:style w:type="character" w:customStyle="1" w:styleId="CommentTextChar">
    <w:name w:val="Comment Text Char"/>
    <w:basedOn w:val="DefaultParagraphFont"/>
    <w:link w:val="CommentText"/>
    <w:uiPriority w:val="99"/>
    <w:rsid w:val="00F65430"/>
    <w:rPr>
      <w:sz w:val="20"/>
      <w:szCs w:val="20"/>
    </w:rPr>
  </w:style>
  <w:style w:type="paragraph" w:styleId="CommentSubject">
    <w:name w:val="annotation subject"/>
    <w:basedOn w:val="CommentText"/>
    <w:next w:val="CommentText"/>
    <w:link w:val="CommentSubjectChar"/>
    <w:uiPriority w:val="99"/>
    <w:semiHidden/>
    <w:unhideWhenUsed/>
    <w:rsid w:val="00F65430"/>
    <w:rPr>
      <w:b/>
      <w:bCs/>
    </w:rPr>
  </w:style>
  <w:style w:type="character" w:customStyle="1" w:styleId="CommentSubjectChar">
    <w:name w:val="Comment Subject Char"/>
    <w:basedOn w:val="CommentTextChar"/>
    <w:link w:val="CommentSubject"/>
    <w:uiPriority w:val="99"/>
    <w:semiHidden/>
    <w:rsid w:val="00F65430"/>
    <w:rPr>
      <w:b/>
      <w:bCs/>
      <w:sz w:val="20"/>
      <w:szCs w:val="20"/>
    </w:rPr>
  </w:style>
  <w:style w:type="paragraph" w:styleId="Revision">
    <w:name w:val="Revision"/>
    <w:hidden/>
    <w:uiPriority w:val="99"/>
    <w:semiHidden/>
    <w:rsid w:val="00DA50C0"/>
    <w:pPr>
      <w:spacing w:after="0" w:line="240" w:lineRule="auto"/>
    </w:pPr>
  </w:style>
  <w:style w:type="paragraph" w:styleId="Header">
    <w:name w:val="header"/>
    <w:basedOn w:val="Normal"/>
    <w:link w:val="HeaderChar"/>
    <w:uiPriority w:val="99"/>
    <w:unhideWhenUsed/>
    <w:rsid w:val="00167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9FF"/>
  </w:style>
  <w:style w:type="paragraph" w:styleId="Footer">
    <w:name w:val="footer"/>
    <w:basedOn w:val="Normal"/>
    <w:link w:val="FooterChar"/>
    <w:uiPriority w:val="99"/>
    <w:unhideWhenUsed/>
    <w:rsid w:val="00167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9FF"/>
  </w:style>
  <w:style w:type="paragraph" w:styleId="BalloonText">
    <w:name w:val="Balloon Text"/>
    <w:basedOn w:val="Normal"/>
    <w:link w:val="BalloonTextChar"/>
    <w:uiPriority w:val="99"/>
    <w:semiHidden/>
    <w:unhideWhenUsed/>
    <w:rsid w:val="00767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5D"/>
    <w:rPr>
      <w:rFonts w:ascii="Segoe UI" w:hAnsi="Segoe UI" w:cs="Segoe UI"/>
      <w:sz w:val="18"/>
      <w:szCs w:val="18"/>
    </w:rPr>
  </w:style>
  <w:style w:type="character" w:styleId="Hyperlink">
    <w:name w:val="Hyperlink"/>
    <w:basedOn w:val="DefaultParagraphFont"/>
    <w:uiPriority w:val="99"/>
    <w:unhideWhenUsed/>
    <w:rsid w:val="00F93212"/>
    <w:rPr>
      <w:color w:val="0563C1" w:themeColor="hyperlink"/>
      <w:u w:val="single"/>
    </w:rPr>
  </w:style>
  <w:style w:type="character" w:styleId="UnresolvedMention">
    <w:name w:val="Unresolved Mention"/>
    <w:basedOn w:val="DefaultParagraphFont"/>
    <w:uiPriority w:val="99"/>
    <w:semiHidden/>
    <w:unhideWhenUsed/>
    <w:rsid w:val="00F93212"/>
    <w:rPr>
      <w:color w:val="605E5C"/>
      <w:shd w:val="clear" w:color="auto" w:fill="E1DFDD"/>
    </w:rPr>
  </w:style>
  <w:style w:type="character" w:styleId="FollowedHyperlink">
    <w:name w:val="FollowedHyperlink"/>
    <w:basedOn w:val="DefaultParagraphFont"/>
    <w:uiPriority w:val="99"/>
    <w:semiHidden/>
    <w:unhideWhenUsed/>
    <w:rsid w:val="00E00199"/>
    <w:rPr>
      <w:color w:val="954F72" w:themeColor="followedHyperlink"/>
      <w:u w:val="single"/>
    </w:rPr>
  </w:style>
  <w:style w:type="paragraph" w:styleId="NoSpacing">
    <w:name w:val="No Spacing"/>
    <w:link w:val="NoSpacingChar"/>
    <w:uiPriority w:val="1"/>
    <w:qFormat/>
    <w:rsid w:val="007A4435"/>
    <w:pPr>
      <w:spacing w:after="0" w:line="240" w:lineRule="auto"/>
      <w:jc w:val="both"/>
    </w:pPr>
    <w:rPr>
      <w:rFonts w:ascii="Arial" w:eastAsia="Calibri" w:hAnsi="Arial" w:cs="Arial"/>
      <w:sz w:val="20"/>
      <w:szCs w:val="20"/>
      <w:shd w:val="clear" w:color="auto" w:fill="FFFFFF"/>
    </w:rPr>
  </w:style>
  <w:style w:type="character" w:customStyle="1" w:styleId="NoSpacingChar">
    <w:name w:val="No Spacing Char"/>
    <w:basedOn w:val="DefaultParagraphFont"/>
    <w:link w:val="NoSpacing"/>
    <w:uiPriority w:val="1"/>
    <w:rsid w:val="007A4435"/>
    <w:rPr>
      <w:rFonts w:ascii="Arial" w:eastAsia="Calibri" w:hAnsi="Arial" w:cs="Arial"/>
      <w:sz w:val="20"/>
      <w:szCs w:val="20"/>
    </w:rPr>
  </w:style>
  <w:style w:type="paragraph" w:customStyle="1" w:styleId="cu">
    <w:name w:val="cu"/>
    <w:basedOn w:val="Normal"/>
    <w:rsid w:val="007A44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w">
    <w:name w:val="bw"/>
    <w:basedOn w:val="DefaultParagraphFont"/>
    <w:rsid w:val="007A4435"/>
  </w:style>
  <w:style w:type="paragraph" w:customStyle="1" w:styleId="Body">
    <w:name w:val="Body"/>
    <w:basedOn w:val="Normal"/>
    <w:qFormat/>
    <w:rsid w:val="0017572A"/>
    <w:pPr>
      <w:tabs>
        <w:tab w:val="left" w:pos="567"/>
        <w:tab w:val="left" w:pos="851"/>
      </w:tabs>
      <w:spacing w:after="0" w:line="240" w:lineRule="auto"/>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790228">
      <w:bodyDiv w:val="1"/>
      <w:marLeft w:val="0"/>
      <w:marRight w:val="0"/>
      <w:marTop w:val="0"/>
      <w:marBottom w:val="0"/>
      <w:divBdr>
        <w:top w:val="none" w:sz="0" w:space="0" w:color="auto"/>
        <w:left w:val="none" w:sz="0" w:space="0" w:color="auto"/>
        <w:bottom w:val="none" w:sz="0" w:space="0" w:color="auto"/>
        <w:right w:val="none" w:sz="0" w:space="0" w:color="auto"/>
      </w:divBdr>
    </w:div>
    <w:div w:id="208676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taconi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2A75ABD1E084B9EA27DB064F7FB63" ma:contentTypeVersion="16" ma:contentTypeDescription="Create a new document." ma:contentTypeScope="" ma:versionID="6d334971061ae542f88af1ff353dd4da">
  <xsd:schema xmlns:xsd="http://www.w3.org/2001/XMLSchema" xmlns:xs="http://www.w3.org/2001/XMLSchema" xmlns:p="http://schemas.microsoft.com/office/2006/metadata/properties" xmlns:ns2="eeb00c53-fb2f-485d-9736-e2c0c60ca424" xmlns:ns3="e43ed7c2-3797-47dd-87ba-697529782e51" targetNamespace="http://schemas.microsoft.com/office/2006/metadata/properties" ma:root="true" ma:fieldsID="e64d361f4ae6e8825923b2ed2913bb45" ns2:_="" ns3:_="">
    <xsd:import namespace="eeb00c53-fb2f-485d-9736-e2c0c60ca424"/>
    <xsd:import namespace="e43ed7c2-3797-47dd-87ba-697529782e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00c53-fb2f-485d-9736-e2c0c60ca4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35801d4-e627-40c3-a4bf-4de9088eeaf7}" ma:internalName="TaxCatchAll" ma:showField="CatchAllData" ma:web="eeb00c53-fb2f-485d-9736-e2c0c60ca4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3ed7c2-3797-47dd-87ba-697529782e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620fe-e804-4b3c-9a12-fc5e46994a9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3ed7c2-3797-47dd-87ba-697529782e51">
      <Terms xmlns="http://schemas.microsoft.com/office/infopath/2007/PartnerControls"/>
    </lcf76f155ced4ddcb4097134ff3c332f>
    <TaxCatchAll xmlns="eeb00c53-fb2f-485d-9736-e2c0c60ca424" xsi:nil="true"/>
  </documentManagement>
</p:properties>
</file>

<file path=customXml/itemProps1.xml><?xml version="1.0" encoding="utf-8"?>
<ds:datastoreItem xmlns:ds="http://schemas.openxmlformats.org/officeDocument/2006/customXml" ds:itemID="{448420A4-CC34-40CF-A972-4F22C1249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00c53-fb2f-485d-9736-e2c0c60ca424"/>
    <ds:schemaRef ds:uri="e43ed7c2-3797-47dd-87ba-697529782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D302E-167A-498C-956F-B0E4FF8CE56B}">
  <ds:schemaRefs>
    <ds:schemaRef ds:uri="http://schemas.microsoft.com/sharepoint/v3/contenttype/forms"/>
  </ds:schemaRefs>
</ds:datastoreItem>
</file>

<file path=customXml/itemProps3.xml><?xml version="1.0" encoding="utf-8"?>
<ds:datastoreItem xmlns:ds="http://schemas.openxmlformats.org/officeDocument/2006/customXml" ds:itemID="{6CD90A6B-8449-4607-A4C4-468490122CDC}">
  <ds:schemaRefs>
    <ds:schemaRef ds:uri="http://schemas.microsoft.com/office/2006/metadata/properties"/>
    <ds:schemaRef ds:uri="http://schemas.microsoft.com/office/infopath/2007/PartnerControls"/>
    <ds:schemaRef ds:uri="e43ed7c2-3797-47dd-87ba-697529782e51"/>
    <ds:schemaRef ds:uri="eeb00c53-fb2f-485d-9736-e2c0c60ca424"/>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Milesh Hindocha</dc:creator>
  <cp:keywords/>
  <cp:lastModifiedBy>John Shaw</cp:lastModifiedBy>
  <cp:revision>132</cp:revision>
  <cp:lastPrinted>2023-02-28T17:58:00Z</cp:lastPrinted>
  <dcterms:created xsi:type="dcterms:W3CDTF">2024-09-08T19:00:00Z</dcterms:created>
  <dcterms:modified xsi:type="dcterms:W3CDTF">2024-09-08T22:01:00Z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0x010100EDD2A75ABD1E084B9EA27DB064F7FB63</vt:lpwstr>
  </property>
</Properties>
</file>